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8F" w:rsidRDefault="0003598F" w:rsidP="0003598F">
      <w:r>
        <w:t>Programma</w:t>
      </w:r>
    </w:p>
    <w:p w:rsidR="0003598F" w:rsidRDefault="0003598F" w:rsidP="0003598F"/>
    <w:p w:rsidR="0003598F" w:rsidRDefault="0003598F" w:rsidP="0003598F">
      <w:r>
        <w:t xml:space="preserve"> 17.00 - 17.30 </w:t>
      </w:r>
      <w:r>
        <w:tab/>
        <w:t xml:space="preserve"> ontvangst en registratie met broodjesbuffet</w:t>
      </w:r>
    </w:p>
    <w:p w:rsidR="0003598F" w:rsidRDefault="0003598F" w:rsidP="0003598F">
      <w:r>
        <w:t xml:space="preserve"> 17.30</w:t>
      </w:r>
      <w:r>
        <w:tab/>
        <w:t xml:space="preserve"> </w:t>
      </w:r>
      <w:r>
        <w:tab/>
        <w:t xml:space="preserve"> aanvang cursus</w:t>
      </w:r>
    </w:p>
    <w:p w:rsidR="0003598F" w:rsidRDefault="0003598F" w:rsidP="0003598F">
      <w:r>
        <w:t xml:space="preserve"> 19.15 - 19.30</w:t>
      </w:r>
      <w:r>
        <w:tab/>
        <w:t xml:space="preserve"> koffie-, theepauze</w:t>
      </w:r>
    </w:p>
    <w:p w:rsidR="0003598F" w:rsidRDefault="0003598F" w:rsidP="0003598F">
      <w:r>
        <w:t xml:space="preserve"> 19.30</w:t>
      </w:r>
      <w:r>
        <w:tab/>
        <w:t xml:space="preserve"> </w:t>
      </w:r>
      <w:r>
        <w:tab/>
        <w:t xml:space="preserve">  vervolg cursus</w:t>
      </w:r>
    </w:p>
    <w:p w:rsidR="0003598F" w:rsidRDefault="0003598F" w:rsidP="0003598F">
      <w:r>
        <w:t xml:space="preserve"> 21.15</w:t>
      </w:r>
      <w:r>
        <w:tab/>
        <w:t xml:space="preserve"> </w:t>
      </w:r>
      <w:r>
        <w:tab/>
        <w:t xml:space="preserve">  einde cursus met uitreiking van certificaat</w:t>
      </w:r>
    </w:p>
    <w:p w:rsidR="00A5148A" w:rsidRDefault="00A5148A" w:rsidP="0003598F"/>
    <w:p w:rsidR="0003598F" w:rsidRDefault="00A5148A" w:rsidP="0003598F">
      <w:r w:rsidRPr="0018388A">
        <w:rPr>
          <w:rFonts w:ascii="Verdana" w:eastAsia="Times New Roman" w:hAnsi="Verdana" w:cs="Times New Roman"/>
          <w:sz w:val="18"/>
          <w:szCs w:val="18"/>
          <w:lang w:eastAsia="nl-NL"/>
        </w:rPr>
        <w:t>1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. Casuïstiek, met name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nl-NL"/>
        </w:rPr>
        <w:t>dagcurveproblemen</w:t>
      </w:r>
      <w:proofErr w:type="spellEnd"/>
      <w:r w:rsidRPr="0018388A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 w:rsidRPr="0018388A">
        <w:rPr>
          <w:rFonts w:ascii="Verdana" w:eastAsia="Times New Roman" w:hAnsi="Verdana" w:cs="Times New Roman"/>
          <w:sz w:val="18"/>
          <w:szCs w:val="18"/>
          <w:lang w:eastAsia="nl-NL"/>
        </w:rPr>
        <w:br/>
        <w:t xml:space="preserve">2.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Grens tussen de 1</w:t>
      </w:r>
      <w:r w:rsidRPr="0018388A">
        <w:rPr>
          <w:rFonts w:ascii="Verdana" w:eastAsia="Times New Roman" w:hAnsi="Verdana" w:cs="Times New Roman"/>
          <w:sz w:val="18"/>
          <w:szCs w:val="18"/>
          <w:vertAlign w:val="superscript"/>
          <w:lang w:eastAsia="nl-NL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en 2</w:t>
      </w:r>
      <w:r w:rsidRPr="0018388A">
        <w:rPr>
          <w:rFonts w:ascii="Verdana" w:eastAsia="Times New Roman" w:hAnsi="Verdana" w:cs="Times New Roman"/>
          <w:sz w:val="18"/>
          <w:szCs w:val="18"/>
          <w:vertAlign w:val="superscript"/>
          <w:lang w:eastAsia="nl-NL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lijn: een LADA, een MODY, kan dat ook in de 1</w:t>
      </w:r>
      <w:r w:rsidRPr="0018388A">
        <w:rPr>
          <w:rFonts w:ascii="Verdana" w:eastAsia="Times New Roman" w:hAnsi="Verdana" w:cs="Times New Roman"/>
          <w:sz w:val="18"/>
          <w:szCs w:val="18"/>
          <w:vertAlign w:val="superscript"/>
          <w:lang w:eastAsia="nl-NL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lijn, een oncologische patiënt en ook diabetes, een patiënt met corticosteroïden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br/>
        <w:t xml:space="preserve">3.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nl-NL"/>
        </w:rPr>
        <w:t>Bariatrische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chirurgie en diabetes mellitus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br/>
        <w:t>4. Psychiatrie en non-compliance</w:t>
      </w:r>
      <w:r w:rsidRPr="0018388A">
        <w:rPr>
          <w:rFonts w:ascii="Verdana" w:eastAsia="Times New Roman" w:hAnsi="Verdana" w:cs="Times New Roman"/>
          <w:sz w:val="18"/>
          <w:szCs w:val="18"/>
          <w:lang w:eastAsia="nl-NL"/>
        </w:rPr>
        <w:br/>
        <w:t>5. Nieuwe ontwi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kkelingen: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nl-NL"/>
        </w:rPr>
        <w:t>insulines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en combinatie insuline-GLP1 analogen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br/>
        <w:t>6. Acute diabetes vragen in de praktijk en op de HAP</w:t>
      </w:r>
      <w:r w:rsidRPr="0018388A">
        <w:rPr>
          <w:rFonts w:ascii="Verdana" w:eastAsia="Times New Roman" w:hAnsi="Verdana" w:cs="Times New Roman"/>
          <w:sz w:val="18"/>
          <w:szCs w:val="18"/>
          <w:lang w:eastAsia="nl-NL"/>
        </w:rPr>
        <w:br/>
      </w:r>
      <w:bookmarkStart w:id="0" w:name="_GoBack"/>
      <w:bookmarkEnd w:id="0"/>
    </w:p>
    <w:p w:rsidR="0003598F" w:rsidRDefault="0003598F" w:rsidP="0003598F">
      <w:hyperlink r:id="rId4" w:history="1">
        <w:r w:rsidRPr="00AB4D64">
          <w:rPr>
            <w:rStyle w:val="Hyperlink"/>
          </w:rPr>
          <w:t>https://www.nhg.org/standaarden/volledig/nhg-standaard-diabetes-mellitus-type-2</w:t>
        </w:r>
      </w:hyperlink>
      <w:r>
        <w:t xml:space="preserve"> </w:t>
      </w:r>
    </w:p>
    <w:p w:rsidR="0003598F" w:rsidRDefault="0003598F" w:rsidP="0003598F">
      <w:r>
        <w:t xml:space="preserve">Boek Diabetes Mellitus. De achtergronden </w:t>
      </w:r>
      <w:proofErr w:type="spellStart"/>
      <w:r>
        <w:t>S.Verhoeven</w:t>
      </w:r>
      <w:proofErr w:type="spellEnd"/>
      <w:r>
        <w:t xml:space="preserve"> et al. Uitgave Langerhans 2015</w:t>
      </w:r>
    </w:p>
    <w:p w:rsidR="0003598F" w:rsidRDefault="0003598F" w:rsidP="0003598F">
      <w:pPr>
        <w:pStyle w:val="Normaalweb"/>
        <w:kinsoku w:val="0"/>
        <w:overflowPunct w:val="0"/>
        <w:spacing w:before="86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Bron: Boerman,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Boerlage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, Houweling, Holleman, Gerdes. NTvG  2017;161:D1240</w:t>
      </w:r>
    </w:p>
    <w:p w:rsidR="0003598F" w:rsidRDefault="0003598F" w:rsidP="0003598F"/>
    <w:p w:rsidR="0003598F" w:rsidRDefault="0003598F" w:rsidP="0003598F">
      <w:pPr>
        <w:pStyle w:val="Normaalweb"/>
        <w:kinsoku w:val="0"/>
        <w:overflowPunct w:val="0"/>
        <w:spacing w:before="86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Ontleend aan presentatie Dan Cohen LH Symposium: http://www.diabetes2.nl/uploads/user/onderwijspagina/10e%20langerhanssymposium/5.%20Cohen.pdf</w:t>
      </w:r>
    </w:p>
    <w:p w:rsidR="0003598F" w:rsidRDefault="0003598F" w:rsidP="0003598F"/>
    <w:p w:rsidR="0003598F" w:rsidRDefault="0003598F" w:rsidP="0003598F">
      <w:pPr>
        <w:pStyle w:val="Normaalweb"/>
        <w:spacing w:before="0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Zie ook :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legemaate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juridische aspecten: http://www.diabetes2.nl/uploads/user/onderwijspagina/12e%20langerhanssymposium/4.%20Legemaate.pdf</w:t>
      </w:r>
    </w:p>
    <w:p w:rsidR="0003598F" w:rsidRDefault="0003598F" w:rsidP="0003598F"/>
    <w:p w:rsidR="0003598F" w:rsidRPr="001A220E" w:rsidRDefault="0003598F" w:rsidP="0003598F">
      <w:pPr>
        <w:pStyle w:val="Normaalweb"/>
        <w:kinsoku w:val="0"/>
        <w:overflowPunct w:val="0"/>
        <w:spacing w:before="86" w:beforeAutospacing="0" w:after="0" w:afterAutospacing="0"/>
        <w:textAlignment w:val="baseline"/>
        <w:rPr>
          <w:lang w:val="en-US"/>
        </w:rPr>
      </w:pPr>
      <w:r w:rsidRPr="001A220E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Bron: IVM https://medicijnbalans.nl/medicijngroepen/langwerkende-insulines/medicijnen/51114</w:t>
      </w:r>
    </w:p>
    <w:p w:rsidR="0003598F" w:rsidRPr="001A220E" w:rsidRDefault="0003598F" w:rsidP="0003598F">
      <w:pPr>
        <w:rPr>
          <w:lang w:val="en-US"/>
        </w:rPr>
      </w:pPr>
    </w:p>
    <w:p w:rsidR="005231C5" w:rsidRPr="0003598F" w:rsidRDefault="005231C5">
      <w:pPr>
        <w:rPr>
          <w:lang w:val="en-US"/>
        </w:rPr>
      </w:pPr>
    </w:p>
    <w:sectPr w:rsidR="005231C5" w:rsidRPr="0003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8F"/>
    <w:rsid w:val="0003598F"/>
    <w:rsid w:val="005231C5"/>
    <w:rsid w:val="00A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E431-4C21-4AB0-AA68-AEEB3DE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598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598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3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g.org/standaarden/volledig/nhg-standaard-diabetes-mellitus-type-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</dc:creator>
  <cp:keywords/>
  <dc:description/>
  <cp:lastModifiedBy>Verhoeven</cp:lastModifiedBy>
  <cp:revision>2</cp:revision>
  <dcterms:created xsi:type="dcterms:W3CDTF">2017-12-14T10:56:00Z</dcterms:created>
  <dcterms:modified xsi:type="dcterms:W3CDTF">2017-12-14T10:56:00Z</dcterms:modified>
</cp:coreProperties>
</file>